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B1" w:rsidRDefault="00645EB1" w:rsidP="003E0BDE">
      <w:pPr>
        <w:ind w:left="-720"/>
        <w:jc w:val="center"/>
        <w:rPr>
          <w:rFonts w:ascii="Garamond" w:hAnsi="Garamond" w:cs="Garamond"/>
          <w:i/>
          <w:iCs/>
          <w:w w:val="90"/>
          <w:sz w:val="24"/>
          <w:szCs w:val="24"/>
          <w:lang w:val="it-IT"/>
        </w:rPr>
      </w:pPr>
    </w:p>
    <w:p w:rsidR="00645EB1" w:rsidRPr="003E0BDE" w:rsidRDefault="00645EB1" w:rsidP="003E0BDE">
      <w:pPr>
        <w:ind w:left="220"/>
        <w:jc w:val="center"/>
        <w:rPr>
          <w:rFonts w:ascii="Garamond" w:hAnsi="Garamond" w:cs="Garamond"/>
          <w:i/>
          <w:iCs/>
          <w:lang w:val="it-IT"/>
        </w:rPr>
      </w:pPr>
      <w:r w:rsidRPr="003E0BDE">
        <w:rPr>
          <w:rFonts w:ascii="Garamond" w:hAnsi="Garamond" w:cs="Garamond"/>
          <w:i/>
          <w:iCs/>
          <w:lang w:val="it-IT"/>
        </w:rPr>
        <w:t xml:space="preserve">Compilazione obbligatoria antecedente alla firma del contratto </w:t>
      </w:r>
    </w:p>
    <w:p w:rsidR="00645EB1" w:rsidRDefault="00645EB1" w:rsidP="003E0BDE">
      <w:pPr>
        <w:pStyle w:val="BodyText"/>
        <w:spacing w:before="9"/>
        <w:ind w:left="220" w:right="60"/>
        <w:rPr>
          <w:i/>
          <w:iCs/>
          <w:sz w:val="22"/>
          <w:szCs w:val="22"/>
          <w:lang w:val="it-IT"/>
        </w:rPr>
      </w:pPr>
    </w:p>
    <w:p w:rsidR="00645EB1" w:rsidRPr="003E0BDE" w:rsidRDefault="00645EB1" w:rsidP="003E0BDE">
      <w:pPr>
        <w:pStyle w:val="BodyText"/>
        <w:spacing w:before="9"/>
        <w:ind w:left="220" w:right="60"/>
        <w:rPr>
          <w:i/>
          <w:iCs/>
          <w:sz w:val="22"/>
          <w:szCs w:val="22"/>
          <w:lang w:val="it-IT"/>
        </w:rPr>
      </w:pPr>
    </w:p>
    <w:p w:rsidR="00645EB1" w:rsidRPr="003E0BDE" w:rsidRDefault="00645EB1" w:rsidP="003E0BDE">
      <w:pPr>
        <w:spacing w:line="360" w:lineRule="auto"/>
        <w:ind w:left="220" w:right="60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Il/la sottoscritto/a _________________________________ nato/a a _________</w:t>
      </w:r>
      <w:r>
        <w:rPr>
          <w:rFonts w:ascii="Garamond" w:hAnsi="Garamond" w:cs="Garamond"/>
          <w:sz w:val="23"/>
          <w:szCs w:val="23"/>
          <w:lang w:val="it-IT"/>
        </w:rPr>
        <w:t>____________</w:t>
      </w:r>
      <w:r w:rsidRPr="003E0BDE">
        <w:rPr>
          <w:rFonts w:ascii="Garamond" w:hAnsi="Garamond" w:cs="Garamond"/>
          <w:sz w:val="23"/>
          <w:szCs w:val="23"/>
          <w:lang w:val="it-IT"/>
        </w:rPr>
        <w:t xml:space="preserve">_____ il ________ residente in _____________________ prov. _________ via/piazza __________________________ n. _________ </w:t>
      </w:r>
    </w:p>
    <w:p w:rsidR="00645EB1" w:rsidRPr="003E0BDE" w:rsidRDefault="00645EB1" w:rsidP="003E0BDE">
      <w:pPr>
        <w:spacing w:line="360" w:lineRule="auto"/>
        <w:ind w:left="220" w:right="60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Codice fiscale ________________________________________________________________________________</w:t>
      </w:r>
    </w:p>
    <w:p w:rsidR="00645EB1" w:rsidRPr="003E0BDE" w:rsidRDefault="00645EB1" w:rsidP="003E0BDE">
      <w:pPr>
        <w:spacing w:line="360" w:lineRule="auto"/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Consapevole che:</w:t>
      </w:r>
    </w:p>
    <w:p w:rsidR="00645EB1" w:rsidRPr="003E0BDE" w:rsidRDefault="00645EB1" w:rsidP="003E0BDE">
      <w:pPr>
        <w:widowControl/>
        <w:numPr>
          <w:ilvl w:val="0"/>
          <w:numId w:val="7"/>
        </w:numPr>
        <w:autoSpaceDE/>
        <w:autoSpaceDN/>
        <w:ind w:left="660" w:right="60" w:hanging="44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è soggetto alle sanzioni previste dal codice penale e dalle leggi speciali in materia qualora rilasci dichiarazioni mendaci, formi o faccia uso di atti falsi od esibisca atti contenenti dati non più rispondenti a verità (art. 76 del D.P.R. n. 445/2000);</w:t>
      </w:r>
    </w:p>
    <w:p w:rsidR="00645EB1" w:rsidRDefault="00645EB1" w:rsidP="003E0BDE">
      <w:pPr>
        <w:widowControl/>
        <w:numPr>
          <w:ilvl w:val="0"/>
          <w:numId w:val="7"/>
        </w:numPr>
        <w:autoSpaceDE/>
        <w:autoSpaceDN/>
        <w:ind w:left="660" w:right="60" w:hanging="440"/>
        <w:jc w:val="both"/>
        <w:rPr>
          <w:rFonts w:ascii="Garamond" w:hAnsi="Garamond" w:cs="Garamond"/>
          <w:sz w:val="23"/>
          <w:szCs w:val="23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 xml:space="preserve">decade dai benefici eventualmente conseguenti al provvedimento emanato sulla base della dichiarazione non veritiera qualora dal controllo effettuato dalla Amministrazione emerga la non veridicità  del contenuto della dichiarazione ( artt. </w:t>
      </w:r>
      <w:r w:rsidRPr="002225CD">
        <w:rPr>
          <w:rFonts w:ascii="Garamond" w:hAnsi="Garamond" w:cs="Garamond"/>
          <w:sz w:val="23"/>
          <w:szCs w:val="23"/>
        </w:rPr>
        <w:t>71/75 del D</w:t>
      </w:r>
      <w:r>
        <w:rPr>
          <w:rFonts w:ascii="Garamond" w:hAnsi="Garamond" w:cs="Garamond"/>
          <w:sz w:val="23"/>
          <w:szCs w:val="23"/>
        </w:rPr>
        <w:t>.</w:t>
      </w:r>
      <w:r w:rsidRPr="002225CD">
        <w:rPr>
          <w:rFonts w:ascii="Garamond" w:hAnsi="Garamond" w:cs="Garamond"/>
          <w:sz w:val="23"/>
          <w:szCs w:val="23"/>
        </w:rPr>
        <w:t>P</w:t>
      </w:r>
      <w:r>
        <w:rPr>
          <w:rFonts w:ascii="Garamond" w:hAnsi="Garamond" w:cs="Garamond"/>
          <w:sz w:val="23"/>
          <w:szCs w:val="23"/>
        </w:rPr>
        <w:t>.</w:t>
      </w:r>
      <w:r w:rsidRPr="002225CD">
        <w:rPr>
          <w:rFonts w:ascii="Garamond" w:hAnsi="Garamond" w:cs="Garamond"/>
          <w:sz w:val="23"/>
          <w:szCs w:val="23"/>
        </w:rPr>
        <w:t>R</w:t>
      </w:r>
      <w:r>
        <w:rPr>
          <w:rFonts w:ascii="Garamond" w:hAnsi="Garamond" w:cs="Garamond"/>
          <w:sz w:val="23"/>
          <w:szCs w:val="23"/>
        </w:rPr>
        <w:t>.</w:t>
      </w:r>
      <w:r w:rsidRPr="002225CD">
        <w:rPr>
          <w:rFonts w:ascii="Garamond" w:hAnsi="Garamond" w:cs="Garamond"/>
          <w:sz w:val="23"/>
          <w:szCs w:val="23"/>
        </w:rPr>
        <w:t xml:space="preserve"> n. 445/2000);</w:t>
      </w:r>
    </w:p>
    <w:p w:rsidR="00645EB1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</w:rPr>
      </w:pPr>
    </w:p>
    <w:p w:rsidR="00645EB1" w:rsidRDefault="00645EB1" w:rsidP="003E0BDE">
      <w:pPr>
        <w:spacing w:line="360" w:lineRule="auto"/>
        <w:ind w:left="220" w:right="60"/>
        <w:jc w:val="center"/>
        <w:rPr>
          <w:rFonts w:ascii="Garamond" w:hAnsi="Garamond" w:cs="Garamond"/>
          <w:b/>
          <w:bCs/>
          <w:sz w:val="23"/>
          <w:szCs w:val="23"/>
        </w:rPr>
      </w:pPr>
      <w:r w:rsidRPr="002225CD">
        <w:rPr>
          <w:rFonts w:ascii="Garamond" w:hAnsi="Garamond" w:cs="Garamond"/>
          <w:b/>
          <w:bCs/>
          <w:sz w:val="23"/>
          <w:szCs w:val="23"/>
        </w:rPr>
        <w:t>DICHIARA</w:t>
      </w:r>
    </w:p>
    <w:p w:rsidR="00645EB1" w:rsidRPr="003E0BDE" w:rsidRDefault="00645EB1" w:rsidP="003E0BDE">
      <w:pPr>
        <w:ind w:left="660" w:right="60" w:hanging="44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sz w:val="23"/>
          <w:szCs w:val="23"/>
          <w:lang w:val="it-IT"/>
        </w:rPr>
        <w:t xml:space="preserve">- </w:t>
      </w:r>
      <w:r>
        <w:rPr>
          <w:rFonts w:ascii="Garamond" w:hAnsi="Garamond" w:cs="Garamond"/>
          <w:sz w:val="23"/>
          <w:szCs w:val="23"/>
          <w:lang w:val="it-IT"/>
        </w:rPr>
        <w:tab/>
      </w:r>
      <w:r w:rsidRPr="003E0BDE">
        <w:rPr>
          <w:rFonts w:ascii="Garamond" w:hAnsi="Garamond" w:cs="Garamond"/>
          <w:sz w:val="23"/>
          <w:szCs w:val="23"/>
          <w:lang w:val="it-IT"/>
        </w:rPr>
        <w:t xml:space="preserve">che non sussistono le seguenti cause di </w:t>
      </w:r>
      <w:r w:rsidRPr="003E0BDE">
        <w:rPr>
          <w:rFonts w:ascii="Garamond" w:hAnsi="Garamond" w:cs="Garamond"/>
          <w:b/>
          <w:bCs/>
          <w:sz w:val="23"/>
          <w:szCs w:val="23"/>
          <w:lang w:val="it-IT"/>
        </w:rPr>
        <w:t>inconferibilità</w:t>
      </w:r>
      <w:r w:rsidRPr="003E0BDE">
        <w:rPr>
          <w:rFonts w:ascii="Garamond" w:hAnsi="Garamond" w:cs="Garamond"/>
          <w:sz w:val="23"/>
          <w:szCs w:val="23"/>
          <w:lang w:val="it-IT"/>
        </w:rPr>
        <w:t xml:space="preserve"> all’incarico: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aver subito una condanna per reati contro la pubblica amministrazione anche con sentenza non passata in giudicato;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aver svolto, nei 2 anni precedenti, incarichi e aver ricoperto cariche in enti di diritto privato regolati o finanziati dal servizio sanitario regionale  o di  aver svolto attività professionali a favore di questi ultimi;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essere stato candidato, nei 5 anni  precedenti, in elezioni europee, nazionali, regionali e locali, in collegi elettorali che comprendono il territorio dell’asl ( art. 8 comma 1 del D.Lgs n. 39/2013);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nell’ anno precedente aver esercitato la funzione di parlamentare;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 xml:space="preserve">nei 2 anni precedenti aver esercitato la funzione di Presidente del Consiglio dei ministri o di ministro, vice ministro, o sottosegretario nel ministero della salute o in altra amministrazione dello stato o di amministratore di ente pubblico o ente di diritto privato in controllo pubblico nazionale che svolga funzioni di controllo, vigilanza, o finanziamento del servizio sanitario nazionale; 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essere stato, nei 3 anni precedenti, componente della Giunta o del Consiglio Regionale interessato e/o di non aver avuto incarichi di amministratore di ente pubblico o di ente diritto privato in controllo pubblico regionale che svolga funzioni di controllo, vigilanza o finanziamento del servizio sanitario regionale;</w:t>
      </w:r>
    </w:p>
    <w:p w:rsidR="00645EB1" w:rsidRPr="003E0BDE" w:rsidRDefault="00645EB1" w:rsidP="003E0BDE">
      <w:pPr>
        <w:widowControl/>
        <w:numPr>
          <w:ilvl w:val="0"/>
          <w:numId w:val="4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essere stato, nei 2 anni precedenti, componente della Giunta o del Consiglio di una provincia, di un comune con popolazione superiore ai 15.000 abitanti o di una forma associativa tra comuni avente la medesima popolazione, il cui territorio è compreso nel territorio dell’asl (art. 8 comma 5 del D. Lgs n. 39/2013);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highlight w:val="yellow"/>
          <w:lang w:val="it-IT"/>
        </w:rPr>
      </w:pPr>
    </w:p>
    <w:p w:rsidR="00645EB1" w:rsidRPr="003E0BDE" w:rsidRDefault="00645EB1" w:rsidP="003E0BDE">
      <w:pPr>
        <w:ind w:left="660" w:right="60" w:hanging="44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 xml:space="preserve">- </w:t>
      </w:r>
      <w:r w:rsidRPr="003E0BDE">
        <w:rPr>
          <w:rFonts w:ascii="Garamond" w:hAnsi="Garamond" w:cs="Garamond"/>
          <w:sz w:val="23"/>
          <w:szCs w:val="23"/>
          <w:lang w:val="it-IT"/>
        </w:rPr>
        <w:tab/>
        <w:t xml:space="preserve">che non sussistano per se stesso per il coniuge o per parenti o affini entro il secondo grado le seguenti condizioni che determinano situazione di </w:t>
      </w:r>
      <w:r w:rsidRPr="003E0BDE">
        <w:rPr>
          <w:rFonts w:ascii="Garamond" w:hAnsi="Garamond" w:cs="Garamond"/>
          <w:b/>
          <w:bCs/>
          <w:sz w:val="23"/>
          <w:szCs w:val="23"/>
          <w:lang w:val="it-IT"/>
        </w:rPr>
        <w:t>incompatibilità</w:t>
      </w:r>
      <w:r w:rsidRPr="003E0BDE">
        <w:rPr>
          <w:rFonts w:ascii="Garamond" w:hAnsi="Garamond" w:cs="Garamond"/>
          <w:sz w:val="23"/>
          <w:szCs w:val="23"/>
          <w:lang w:val="it-IT"/>
        </w:rPr>
        <w:t>:</w:t>
      </w:r>
    </w:p>
    <w:p w:rsidR="00645EB1" w:rsidRPr="003E0BDE" w:rsidRDefault="00645EB1" w:rsidP="003E0BDE">
      <w:pPr>
        <w:widowControl/>
        <w:numPr>
          <w:ilvl w:val="0"/>
          <w:numId w:val="5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avere un incarico o una carica in enti di diritto privato regolati o finanziati dal SSN;</w:t>
      </w:r>
    </w:p>
    <w:p w:rsidR="00645EB1" w:rsidRPr="003E0BDE" w:rsidRDefault="00645EB1" w:rsidP="003E0BDE">
      <w:pPr>
        <w:widowControl/>
        <w:numPr>
          <w:ilvl w:val="0"/>
          <w:numId w:val="5"/>
        </w:numPr>
        <w:tabs>
          <w:tab w:val="clear" w:pos="1788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svolgere in proprio un’attività professionale regolata o finanziata dal SSN;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-</w:t>
      </w:r>
      <w:r w:rsidRPr="003E0BDE">
        <w:rPr>
          <w:rFonts w:ascii="Garamond" w:hAnsi="Garamond" w:cs="Garamond"/>
          <w:sz w:val="23"/>
          <w:szCs w:val="23"/>
          <w:lang w:val="it-IT"/>
        </w:rPr>
        <w:tab/>
        <w:t>che non sussistano per se stesso le ulteriori seguenti condizioni che determinano situazione di incompatibilità:</w:t>
      </w:r>
    </w:p>
    <w:p w:rsidR="00645EB1" w:rsidRPr="003E0BDE" w:rsidRDefault="00645EB1" w:rsidP="003E0BDE">
      <w:pPr>
        <w:widowControl/>
        <w:numPr>
          <w:ilvl w:val="0"/>
          <w:numId w:val="6"/>
        </w:numPr>
        <w:tabs>
          <w:tab w:val="clear" w:pos="1800"/>
        </w:tabs>
        <w:autoSpaceDE/>
        <w:autoSpaceDN/>
        <w:ind w:left="880" w:right="60" w:hanging="22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aver in essere la carica di componente di organi di indirizzo politico e cariche in enti pubblici a controllo pubblico.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3E0BDE">
        <w:rPr>
          <w:rFonts w:ascii="Garamond" w:hAnsi="Garamond" w:cs="Garamond"/>
          <w:b/>
          <w:bCs/>
          <w:sz w:val="23"/>
          <w:szCs w:val="23"/>
          <w:lang w:val="it-IT"/>
        </w:rPr>
        <w:t>DICHIARA ALTRESÌ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 xml:space="preserve">   di essere a conoscenza che:</w:t>
      </w:r>
    </w:p>
    <w:p w:rsidR="00645EB1" w:rsidRPr="003E0BDE" w:rsidRDefault="00645EB1" w:rsidP="003E0BDE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220" w:right="60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 xml:space="preserve">per </w:t>
      </w:r>
      <w:r w:rsidRPr="003E0BDE">
        <w:rPr>
          <w:rFonts w:ascii="Garamond" w:hAnsi="Garamond" w:cs="Garamond"/>
          <w:b/>
          <w:bCs/>
          <w:sz w:val="23"/>
          <w:szCs w:val="23"/>
          <w:lang w:val="it-IT"/>
        </w:rPr>
        <w:t>inconferibilità</w:t>
      </w:r>
      <w:r w:rsidRPr="003E0BDE">
        <w:rPr>
          <w:rFonts w:ascii="Garamond" w:hAnsi="Garamond" w:cs="Garamond"/>
          <w:sz w:val="23"/>
          <w:szCs w:val="23"/>
          <w:lang w:val="it-IT"/>
        </w:rPr>
        <w:t xml:space="preserve"> si intende la preclusione permanente o temporanea al conferimento dell’incarico;</w:t>
      </w:r>
    </w:p>
    <w:p w:rsidR="00645EB1" w:rsidRPr="003E0BDE" w:rsidRDefault="00645EB1" w:rsidP="003E0BDE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770" w:right="60" w:hanging="55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 xml:space="preserve">per </w:t>
      </w:r>
      <w:r w:rsidRPr="003E0BDE">
        <w:rPr>
          <w:rFonts w:ascii="Garamond" w:hAnsi="Garamond" w:cs="Garamond"/>
          <w:b/>
          <w:bCs/>
          <w:sz w:val="23"/>
          <w:szCs w:val="23"/>
          <w:lang w:val="it-IT"/>
        </w:rPr>
        <w:t>incompatibilità</w:t>
      </w:r>
      <w:r w:rsidRPr="003E0BDE">
        <w:rPr>
          <w:rFonts w:ascii="Garamond" w:hAnsi="Garamond" w:cs="Garamond"/>
          <w:sz w:val="23"/>
          <w:szCs w:val="23"/>
          <w:lang w:val="it-IT"/>
        </w:rPr>
        <w:t xml:space="preserve"> si intende l’obbligo del soggetto a cui viene conferito l’incarico di scegliere, a pena di decadenza, entro il termine perentorio di 15 gg., tra la permanenza dell’incarico e una delle cause di incompatibilità;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Il/la sottoscritto/a si impegna a comunicare tempestivamente eventuali variazioni intervenute nel corso del rapporto di lavoro con l’Istituto successive alla presente dichiarazione.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3E0BDE">
        <w:rPr>
          <w:rFonts w:ascii="Garamond" w:hAnsi="Garamond" w:cs="Garamond"/>
          <w:sz w:val="23"/>
          <w:szCs w:val="23"/>
          <w:lang w:val="it-IT"/>
        </w:rPr>
        <w:tab/>
      </w:r>
      <w:r w:rsidRPr="003E0BDE">
        <w:rPr>
          <w:rFonts w:ascii="Garamond" w:hAnsi="Garamond" w:cs="Garamond"/>
          <w:sz w:val="23"/>
          <w:szCs w:val="23"/>
          <w:lang w:val="it-IT"/>
        </w:rPr>
        <w:tab/>
        <w:t>Il Dichiarante</w:t>
      </w:r>
      <w:r w:rsidRPr="003E0BDE">
        <w:rPr>
          <w:rFonts w:ascii="Garamond" w:hAnsi="Garamond" w:cs="Garamond"/>
          <w:sz w:val="23"/>
          <w:szCs w:val="23"/>
          <w:lang w:val="it-IT"/>
        </w:rPr>
        <w:tab/>
        <w:t>_____________________________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16"/>
          <w:szCs w:val="16"/>
          <w:lang w:val="it-IT"/>
        </w:rPr>
      </w:pPr>
      <w:r w:rsidRPr="003E0BDE">
        <w:rPr>
          <w:rFonts w:ascii="Garamond" w:hAnsi="Garamond" w:cs="Garamond"/>
          <w:sz w:val="16"/>
          <w:szCs w:val="16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16"/>
          <w:szCs w:val="16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  <w:r w:rsidRPr="003E0BDE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3E0BDE">
        <w:rPr>
          <w:rFonts w:ascii="Garamond" w:hAnsi="Garamond" w:cs="Garamond"/>
          <w:sz w:val="23"/>
          <w:szCs w:val="23"/>
          <w:lang w:val="it-IT"/>
        </w:rPr>
        <w:tab/>
      </w:r>
      <w:r w:rsidRPr="003E0BDE">
        <w:rPr>
          <w:rFonts w:ascii="Garamond" w:hAnsi="Garamond" w:cs="Garamond"/>
          <w:sz w:val="23"/>
          <w:szCs w:val="23"/>
          <w:lang w:val="it-IT"/>
        </w:rPr>
        <w:tab/>
        <w:t>Il Dichiarante ________________________________</w:t>
      </w: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Pr="003E0BDE" w:rsidRDefault="00645EB1" w:rsidP="003E0BDE">
      <w:pPr>
        <w:ind w:left="220" w:right="6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645EB1" w:rsidRDefault="00645EB1" w:rsidP="003E0BDE">
      <w:pPr>
        <w:pStyle w:val="PlainText"/>
        <w:ind w:left="220" w:right="60"/>
        <w:jc w:val="both"/>
        <w:rPr>
          <w:rFonts w:ascii="Garamond" w:hAnsi="Garamond" w:cs="Garamond"/>
          <w:sz w:val="23"/>
          <w:szCs w:val="23"/>
        </w:rPr>
      </w:pPr>
      <w:r w:rsidRPr="00876C17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645EB1" w:rsidRPr="003E0BDE" w:rsidRDefault="00645EB1" w:rsidP="003E0BDE">
      <w:pPr>
        <w:ind w:hanging="720"/>
        <w:jc w:val="both"/>
        <w:rPr>
          <w:sz w:val="23"/>
          <w:szCs w:val="23"/>
          <w:lang w:val="it-IT"/>
        </w:rPr>
      </w:pPr>
    </w:p>
    <w:p w:rsidR="00645EB1" w:rsidRPr="003E0BDE" w:rsidRDefault="00645EB1" w:rsidP="003E0BDE">
      <w:pPr>
        <w:pStyle w:val="BodyText"/>
        <w:tabs>
          <w:tab w:val="left" w:pos="3616"/>
          <w:tab w:val="left" w:pos="5234"/>
          <w:tab w:val="left" w:pos="5642"/>
          <w:tab w:val="left" w:pos="8123"/>
          <w:tab w:val="left" w:pos="9266"/>
          <w:tab w:val="left" w:pos="10581"/>
          <w:tab w:val="left" w:pos="10643"/>
        </w:tabs>
        <w:spacing w:line="350" w:lineRule="auto"/>
        <w:ind w:left="112" w:right="518"/>
        <w:jc w:val="both"/>
        <w:rPr>
          <w:lang w:val="it-IT"/>
        </w:rPr>
      </w:pPr>
    </w:p>
    <w:sectPr w:rsidR="00645EB1" w:rsidRPr="003E0BDE" w:rsidSect="003E0BDE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B1" w:rsidRDefault="00645EB1" w:rsidP="006D294C">
      <w:r>
        <w:separator/>
      </w:r>
    </w:p>
  </w:endnote>
  <w:endnote w:type="continuationSeparator" w:id="0">
    <w:p w:rsidR="00645EB1" w:rsidRDefault="00645EB1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645EB1" w:rsidRPr="00916F5E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645EB1" w:rsidRPr="003E0BDE" w:rsidRDefault="00645EB1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3E0BDE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645EB1" w:rsidRPr="000979DD" w:rsidRDefault="00645EB1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645EB1" w:rsidRDefault="00645EB1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645EB1" w:rsidRPr="0098400A" w:rsidRDefault="00645EB1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645EB1" w:rsidRDefault="00645EB1" w:rsidP="004E16A6"/>
      </w:tc>
      <w:tc>
        <w:tcPr>
          <w:tcW w:w="3118" w:type="dxa"/>
          <w:tcBorders>
            <w:top w:val="single" w:sz="4" w:space="0" w:color="auto"/>
          </w:tcBorders>
        </w:tcPr>
        <w:p w:rsidR="00645EB1" w:rsidRPr="003E0BDE" w:rsidRDefault="00645EB1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645EB1" w:rsidRPr="003E0BDE" w:rsidRDefault="00645EB1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645EB1" w:rsidRPr="00706C75" w:rsidRDefault="00645EB1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645EB1" w:rsidRPr="003E0BDE" w:rsidRDefault="00645EB1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AM_07-e</w:t>
          </w:r>
        </w:p>
        <w:p w:rsidR="00645EB1" w:rsidRPr="003E0BDE" w:rsidRDefault="00645EB1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645EB1" w:rsidRPr="003E0BDE" w:rsidRDefault="00645EB1" w:rsidP="004E16A6">
          <w:pPr>
            <w:pStyle w:val="Footer"/>
            <w:jc w:val="center"/>
            <w:rPr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645EB1" w:rsidRDefault="00645EB1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inset="0,0,0,0">
            <w:txbxContent>
              <w:p w:rsidR="00645EB1" w:rsidRDefault="00645EB1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1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B1" w:rsidRDefault="00645EB1" w:rsidP="006D294C">
      <w:r>
        <w:separator/>
      </w:r>
    </w:p>
  </w:footnote>
  <w:footnote w:type="continuationSeparator" w:id="0">
    <w:p w:rsidR="00645EB1" w:rsidRDefault="00645EB1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645EB1" w:rsidRPr="0005363A">
      <w:trPr>
        <w:cantSplit/>
        <w:trHeight w:val="144"/>
      </w:trPr>
      <w:tc>
        <w:tcPr>
          <w:tcW w:w="4277" w:type="dxa"/>
          <w:vMerge w:val="restart"/>
        </w:tcPr>
        <w:p w:rsidR="00645EB1" w:rsidRPr="00284B2D" w:rsidRDefault="00645EB1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645EB1" w:rsidRDefault="00645EB1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645EB1" w:rsidRPr="00A25012" w:rsidRDefault="00645EB1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645EB1" w:rsidRPr="003E0BDE" w:rsidRDefault="00645EB1" w:rsidP="00C30FA9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b/>
              <w:bCs/>
              <w:lang w:val="it-IT"/>
            </w:rPr>
          </w:pPr>
          <w:r w:rsidRPr="003E0BDE">
            <w:rPr>
              <w:rFonts w:ascii="Garamond" w:hAnsi="Garamond" w:cs="Garamond"/>
              <w:b/>
              <w:bCs/>
              <w:sz w:val="24"/>
              <w:szCs w:val="24"/>
              <w:lang w:val="it-IT"/>
            </w:rPr>
            <w:t>Dichiarazione di insussistenza di cause di inconferibilità e incompatibilità al conferimento dell’incarico esterno</w:t>
          </w:r>
        </w:p>
      </w:tc>
      <w:tc>
        <w:tcPr>
          <w:tcW w:w="1695" w:type="dxa"/>
          <w:vAlign w:val="center"/>
        </w:tcPr>
        <w:p w:rsidR="00645EB1" w:rsidRPr="001C3012" w:rsidRDefault="00645EB1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645EB1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645EB1" w:rsidRPr="0005363A" w:rsidRDefault="00645EB1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645EB1" w:rsidRPr="00D122C1" w:rsidRDefault="00645EB1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645EB1" w:rsidRPr="00A25012" w:rsidRDefault="00645EB1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645EB1" w:rsidRDefault="00645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006D"/>
    <w:rsid w:val="000979DD"/>
    <w:rsid w:val="00160379"/>
    <w:rsid w:val="00193F5B"/>
    <w:rsid w:val="001C3012"/>
    <w:rsid w:val="002225CD"/>
    <w:rsid w:val="00246334"/>
    <w:rsid w:val="00284B2D"/>
    <w:rsid w:val="002E17C5"/>
    <w:rsid w:val="002F2A38"/>
    <w:rsid w:val="003A3075"/>
    <w:rsid w:val="003E0BDE"/>
    <w:rsid w:val="00460DA8"/>
    <w:rsid w:val="004D34FA"/>
    <w:rsid w:val="004E16A6"/>
    <w:rsid w:val="0051036F"/>
    <w:rsid w:val="00640954"/>
    <w:rsid w:val="00645EB1"/>
    <w:rsid w:val="006D294C"/>
    <w:rsid w:val="006F055B"/>
    <w:rsid w:val="006F0ED7"/>
    <w:rsid w:val="00706C75"/>
    <w:rsid w:val="007D361C"/>
    <w:rsid w:val="00876C17"/>
    <w:rsid w:val="008A4045"/>
    <w:rsid w:val="00916F5E"/>
    <w:rsid w:val="0098400A"/>
    <w:rsid w:val="009F77F2"/>
    <w:rsid w:val="00A25012"/>
    <w:rsid w:val="00B34FF0"/>
    <w:rsid w:val="00B35165"/>
    <w:rsid w:val="00BF4984"/>
    <w:rsid w:val="00C278BB"/>
    <w:rsid w:val="00C30FA9"/>
    <w:rsid w:val="00C93DBE"/>
    <w:rsid w:val="00CE08B5"/>
    <w:rsid w:val="00D122C1"/>
    <w:rsid w:val="00EA59EF"/>
    <w:rsid w:val="00EB6E0F"/>
    <w:rsid w:val="00F5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3E0BDE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35165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685</Words>
  <Characters>3910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8</cp:revision>
  <dcterms:created xsi:type="dcterms:W3CDTF">2019-03-19T11:28:00Z</dcterms:created>
  <dcterms:modified xsi:type="dcterms:W3CDTF">2019-03-22T13:57:00Z</dcterms:modified>
</cp:coreProperties>
</file>